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/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40"/>
              <w:szCs w:val="20"/>
            </w:rPr>
            <w:t>7</w:t>
          </w:r>
        </w:sdtContent>
      </w:sdt>
    </w:p>
    <w:p w14:paraId="52CDD03D" w14:textId="105AC4A0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131CF">
            <w:rPr>
              <w:b/>
              <w:sz w:val="32"/>
              <w:szCs w:val="32"/>
            </w:rPr>
            <w:t>3</w:t>
          </w:r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</w:t>
            </w:r>
            <w:bookmarkStart w:id="0" w:name="_GoBack"/>
            <w:bookmarkEnd w:id="0"/>
            <w:r w:rsidRPr="00431EE0">
              <w:rPr>
                <w:szCs w:val="20"/>
              </w:rPr>
              <w:t>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6134A7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131CF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00612790" w:rsidR="00140068" w:rsidRPr="009836CF" w:rsidRDefault="006134A7" w:rsidP="00E77DD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201AB">
                  <w:rPr>
                    <w:szCs w:val="20"/>
                  </w:rPr>
                  <w:t>11.10.2017</w:t>
                </w:r>
              </w:sdtContent>
            </w:sdt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37672982" w:rsidR="00140068" w:rsidRPr="009836CF" w:rsidRDefault="006134A7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201AB">
                  <w:rPr>
                    <w:szCs w:val="20"/>
                  </w:rPr>
                  <w:t>11.10.2017</w:t>
                </w:r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77777777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/výzva/vyzvanie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7E7FAF07" w14:textId="77777777" w:rsidR="00497A28" w:rsidRDefault="00497A28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Formulár: </w:t>
      </w:r>
      <w:r w:rsidRPr="00497A28">
        <w:t>Dotazník zabezpečenia synergií a komplementarít, plnenia zákona č.</w:t>
      </w:r>
      <w:r>
        <w:t> </w:t>
      </w:r>
      <w:r w:rsidRPr="00497A28">
        <w:t>336/2015 Z.</w:t>
      </w:r>
      <w:r w:rsidR="00942DD3">
        <w:t xml:space="preserve"> </w:t>
      </w:r>
      <w:r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29E731EF" w14:textId="77777777" w:rsidR="00593276" w:rsidRDefault="00593276" w:rsidP="00593276">
      <w:pPr>
        <w:spacing w:before="240" w:after="240" w:line="276" w:lineRule="auto"/>
        <w:ind w:firstLine="360"/>
        <w:jc w:val="both"/>
      </w:pPr>
    </w:p>
    <w:p w14:paraId="25737019" w14:textId="77777777" w:rsidR="003F73F7" w:rsidRDefault="003F73F7" w:rsidP="00593276">
      <w:pPr>
        <w:spacing w:before="240" w:after="240" w:line="276" w:lineRule="auto"/>
        <w:ind w:firstLine="360"/>
        <w:jc w:val="both"/>
      </w:pPr>
    </w:p>
    <w:p w14:paraId="58A0337E" w14:textId="77777777" w:rsidR="003F73F7" w:rsidRDefault="003F73F7" w:rsidP="00593276">
      <w:pPr>
        <w:spacing w:before="240" w:after="240" w:line="276" w:lineRule="auto"/>
        <w:ind w:firstLine="360"/>
        <w:jc w:val="both"/>
      </w:pPr>
    </w:p>
    <w:p w14:paraId="14E43C65" w14:textId="77777777" w:rsidR="003F73F7" w:rsidRDefault="003F73F7" w:rsidP="00593276">
      <w:pPr>
        <w:spacing w:before="240" w:after="240" w:line="276" w:lineRule="auto"/>
        <w:ind w:firstLine="360"/>
        <w:jc w:val="both"/>
      </w:pPr>
    </w:p>
    <w:p w14:paraId="12EDBD72" w14:textId="77777777" w:rsidR="003F73F7" w:rsidRDefault="003F73F7" w:rsidP="00593276">
      <w:pPr>
        <w:spacing w:before="240" w:after="240" w:line="276" w:lineRule="auto"/>
        <w:ind w:firstLine="360"/>
        <w:jc w:val="both"/>
      </w:pPr>
    </w:p>
    <w:p w14:paraId="45896E38" w14:textId="77777777" w:rsidR="003F73F7" w:rsidRDefault="003F73F7" w:rsidP="00593276">
      <w:pPr>
        <w:spacing w:before="240" w:after="240" w:line="276" w:lineRule="auto"/>
        <w:ind w:firstLine="360"/>
        <w:jc w:val="both"/>
      </w:pPr>
    </w:p>
    <w:p w14:paraId="44562FD6" w14:textId="77777777" w:rsidR="00D734BA" w:rsidRDefault="00D734BA" w:rsidP="00593276">
      <w:pPr>
        <w:spacing w:before="240" w:after="240" w:line="276" w:lineRule="auto"/>
        <w:ind w:firstLine="360"/>
        <w:jc w:val="both"/>
      </w:pPr>
    </w:p>
    <w:p w14:paraId="3976083F" w14:textId="77777777" w:rsidR="00D734BA" w:rsidRDefault="00D734BA" w:rsidP="00593276">
      <w:pPr>
        <w:spacing w:before="240" w:after="240" w:line="276" w:lineRule="auto"/>
        <w:ind w:firstLine="360"/>
        <w:jc w:val="both"/>
      </w:pPr>
    </w:p>
    <w:p w14:paraId="00273B1F" w14:textId="77777777" w:rsidR="00D734BA" w:rsidRDefault="00D734BA" w:rsidP="00593276">
      <w:pPr>
        <w:spacing w:before="240" w:after="240" w:line="276" w:lineRule="auto"/>
        <w:ind w:firstLine="360"/>
        <w:jc w:val="both"/>
      </w:pPr>
    </w:p>
    <w:p w14:paraId="7C13CCC1" w14:textId="77777777" w:rsidR="00D734BA" w:rsidRDefault="00D734BA" w:rsidP="00593276">
      <w:pPr>
        <w:spacing w:before="240" w:after="240" w:line="276" w:lineRule="auto"/>
        <w:ind w:firstLine="360"/>
        <w:jc w:val="both"/>
      </w:pPr>
    </w:p>
    <w:p w14:paraId="1EA306AC" w14:textId="77777777" w:rsidR="00D734BA" w:rsidRDefault="00D734BA" w:rsidP="00593276">
      <w:pPr>
        <w:spacing w:before="240" w:after="240" w:line="276" w:lineRule="auto"/>
        <w:ind w:firstLine="360"/>
        <w:jc w:val="both"/>
      </w:pPr>
    </w:p>
    <w:p w14:paraId="6F43AE67" w14:textId="77777777" w:rsidR="00D734BA" w:rsidRPr="00627EA3" w:rsidRDefault="00D734BA" w:rsidP="00593276">
      <w:pPr>
        <w:spacing w:before="240" w:after="240" w:line="276" w:lineRule="auto"/>
        <w:ind w:firstLine="360"/>
        <w:jc w:val="both"/>
      </w:pPr>
    </w:p>
    <w:p w14:paraId="12868EEC" w14:textId="77777777" w:rsidR="00593276" w:rsidRPr="00627EA3" w:rsidRDefault="00593276" w:rsidP="00593276"/>
    <w:p w14:paraId="4F259D9E" w14:textId="77777777" w:rsidR="00593276" w:rsidRDefault="00593276" w:rsidP="00593276"/>
    <w:p w14:paraId="711CA4D7" w14:textId="77777777" w:rsidR="00593276" w:rsidRDefault="00593276" w:rsidP="00593276"/>
    <w:p w14:paraId="72ECC244" w14:textId="77777777" w:rsidR="00593276" w:rsidRDefault="00593276" w:rsidP="00593276"/>
    <w:p w14:paraId="7FE595C6" w14:textId="77777777" w:rsidR="00593276" w:rsidRDefault="00593276" w:rsidP="001905C8">
      <w:pPr>
        <w:pStyle w:val="Nzov"/>
        <w:pBdr>
          <w:bottom w:val="none" w:sz="0" w:space="0" w:color="auto"/>
        </w:pBdr>
      </w:pPr>
    </w:p>
    <w:p w14:paraId="25AFBC80" w14:textId="77777777" w:rsidR="00D734BA" w:rsidRPr="00497A28" w:rsidRDefault="00D734BA" w:rsidP="001905C8"/>
    <w:p w14:paraId="61DF3FCF" w14:textId="77777777" w:rsidR="00593276" w:rsidRDefault="00593276" w:rsidP="001905C8">
      <w:pPr>
        <w:pStyle w:val="Nzov"/>
        <w:pBdr>
          <w:bottom w:val="none" w:sz="0" w:space="0" w:color="auto"/>
        </w:pBdr>
      </w:pPr>
    </w:p>
    <w:p w14:paraId="4C9FC2B6" w14:textId="77777777" w:rsidR="00140068" w:rsidRPr="00C60A4A" w:rsidRDefault="00140068" w:rsidP="00140068">
      <w:pPr>
        <w:pStyle w:val="Nzov"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 č. ....</w:t>
      </w:r>
      <w:r w:rsidRPr="002F6FAC">
        <w:rPr>
          <w:rStyle w:val="Odkaznapoznmkupodiarou"/>
        </w:rPr>
        <w:footnoteReference w:id="2"/>
      </w:r>
      <w:r w:rsidRPr="000D5D89">
        <w:t xml:space="preserve">/ Výzva č. ..../Vyzvanie č.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</w:t>
      </w:r>
      <w:r w:rsidRPr="0098159E">
        <w:lastRenderedPageBreak/>
        <w:t xml:space="preserve">žiadateľa a príslušnej kategórie regiónu (ak relevantné). RO súčasne uvedie aj % 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606FF5F6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r>
        <w:t>. RO v prípade potreby zadefinuje aj čas, dokedy je možné odovzdať ŽoNFP osobne na podateľni RO v deň uzávierky výzvy. Zároveň RO explicitne zadefinuje povinnosť predloženia ŽoNFP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11193439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r w:rsidRPr="004A5784">
        <w:t>V rámci skupiny podmienok poskytnutia príspevku týkajúcej sa oprávnenosti aktivít je potrebné definovať aj podmienku, že žiadateľ neukončil fyzickú realizácia všetkých oprávnených aktivít pred predložením ŽoNFP</w:t>
      </w:r>
      <w:r>
        <w:t>.</w:t>
      </w:r>
    </w:p>
    <w:p w14:paraId="02F30C9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výdavkov realizácie projektu</w:t>
      </w:r>
    </w:p>
    <w:p w14:paraId="4135DC5C" w14:textId="77777777" w:rsidR="00140068" w:rsidRDefault="00140068" w:rsidP="00140068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uvedie priamo v texte výzvy alebo presným odkazom na osobitný dokument kritériá pre výber projektov schválené monitorovacím výborom. </w:t>
      </w:r>
    </w:p>
    <w:p w14:paraId="37B486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lastRenderedPageBreak/>
        <w:t>Spôsob financovania</w:t>
      </w:r>
    </w:p>
    <w:p w14:paraId="239D9A2B" w14:textId="5F3EEF3D" w:rsidR="00140068" w:rsidRDefault="00140068" w:rsidP="00140068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</w:t>
      </w:r>
      <w:r w:rsidR="002709CA"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77777777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77777777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informáciu:</w:t>
      </w:r>
    </w:p>
    <w:p w14:paraId="67872C87" w14:textId="38034D6E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69C0B713" w:rsidR="00140068" w:rsidRDefault="00140068" w:rsidP="00140068">
      <w:pPr>
        <w:spacing w:before="240" w:after="240"/>
        <w:ind w:firstLine="360"/>
        <w:jc w:val="both"/>
      </w:pPr>
      <w:r>
        <w:t>V prípade, ak RO požaduje ako podmienku poskytnutia príspevku, aby žiadateľ mal v čase predloženia ŽoNFP zrealizované verejné obstarávanie</w:t>
      </w:r>
      <w:r w:rsidR="00C6530E">
        <w:t xml:space="preserve"> na hlavné aktivity projektu</w:t>
      </w:r>
      <w:r>
        <w:t>, uvedie dané podmienky vo</w:t>
      </w:r>
      <w:r w:rsidR="00F4207C">
        <w:t> </w:t>
      </w:r>
      <w:r>
        <w:t xml:space="preserve">výzve. V tomto prípade je súčasťou aj informácia, že </w:t>
      </w:r>
      <w:r w:rsidR="00C6530E">
        <w:t xml:space="preserve">po ukončení </w:t>
      </w:r>
      <w:r>
        <w:t>schvaľovac</w:t>
      </w:r>
      <w:r w:rsidR="00C6530E">
        <w:t>ieho</w:t>
      </w:r>
      <w:r>
        <w:t xml:space="preserve"> proces</w:t>
      </w:r>
      <w:r w:rsidR="00C6530E">
        <w:t>u</w:t>
      </w:r>
      <w:r>
        <w:t xml:space="preserve"> ŽoNFP </w:t>
      </w:r>
      <w:r w:rsidR="00C6530E">
        <w:t xml:space="preserve">a súčasne pred uzatvorením zluvy o NFP </w:t>
      </w:r>
      <w:r>
        <w:t xml:space="preserve">bude vykonaná aj kontrola VO, </w:t>
      </w:r>
      <w:r w:rsidR="00C6530E">
        <w:t>na základe</w:t>
      </w:r>
      <w:r>
        <w:t xml:space="preserve"> výsledk</w:t>
      </w:r>
      <w:r w:rsidR="00C6530E">
        <w:t>u</w:t>
      </w:r>
      <w:r>
        <w:t xml:space="preserve"> kontroly </w:t>
      </w:r>
      <w:r w:rsidR="00C6530E">
        <w:t>VO následne RO pristúpi k uzatvoreniu, resp. neuzatvoreniu zmluvy o NFP</w:t>
      </w:r>
      <w:r>
        <w:t xml:space="preserve">. </w:t>
      </w:r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 w:rsidP="00140068">
      <w:pPr>
        <w:spacing w:before="240" w:after="240"/>
        <w:ind w:firstLine="360"/>
        <w:jc w:val="both"/>
      </w:pPr>
      <w:r>
        <w:lastRenderedPageBreak/>
        <w:t xml:space="preserve">RO stanoví </w:t>
      </w:r>
      <w:r w:rsidR="008025DB">
        <w:t xml:space="preserve">a podrobnejšie upraví </w:t>
      </w:r>
      <w:r>
        <w:t xml:space="preserve">ako podmienku poskytnutia príspevku preukázanie, že žiadateľ neporušil zákaz nelegálnej práce a nelegálneho zamestnávania. </w:t>
      </w:r>
    </w:p>
    <w:p w14:paraId="06080A1B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481AD958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 xml:space="preserve">Ak z dôvodov špecifík OP RO určí vo vzťahu k schváleniu ŽoNFP ďalšie podmienky poskytnutia príspevku, ktoré nie je možné zaradiť medzi skupiny podmienok poskytnutia príspevku uvedené v rámci častí 2.1 až 2.10 vzoru výzvy, RO jednoznačne a jasne zadefinuje tieto podmienky v časti ,,ďalšie podmienky poskytnutia </w:t>
      </w:r>
      <w:r w:rsidR="004F6CE4">
        <w:t>príspevku</w:t>
      </w:r>
      <w:r>
        <w:t>“. V prípade neaplikácie tejto skupiny podmienok poskytnutia príspevku</w:t>
      </w:r>
      <w:r w:rsidR="00753E12">
        <w:t>,</w:t>
      </w:r>
      <w:r>
        <w:t xml:space="preserve"> RO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4910E1F4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 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77777777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lastRenderedPageBreak/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54B57629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V prípade výzvy, ktorá je vyhlasovaná v nadväznosti na výzvu na predkladanie projektových zámerov RO v tejto časti definuje aj rozsah údajov, ktoré nie je možné v porovnaní s posudzovaným projektovým zámerom zmeniť, resp. prípustnú toleranciu zmien (v súlade s kapitolou 3.2.2.2 ods. </w:t>
      </w:r>
      <w:r w:rsidR="00465D91">
        <w:t>2</w:t>
      </w:r>
      <w:r>
        <w:t xml:space="preserve"> Systému riadenia EŠIF).</w:t>
      </w:r>
    </w:p>
    <w:p w14:paraId="2E0CAE8F" w14:textId="77777777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a komplementárnych účinkov</w:t>
      </w:r>
    </w:p>
    <w:p w14:paraId="37917A7E" w14:textId="77777777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a komplementárnych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77777777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či komplementárnym účinkom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77777777" w:rsidR="00DF4F5E" w:rsidRPr="001905C8" w:rsidRDefault="00DF4F5E" w:rsidP="001905C8">
      <w:pPr>
        <w:spacing w:after="240"/>
        <w:ind w:firstLine="426"/>
        <w:jc w:val="both"/>
      </w:pPr>
      <w:r>
        <w:lastRenderedPageBreak/>
        <w:t>V prípade, ak vo vzťahu k relevantným výzvam EŠIF a iným nástrojom podpory SR a EÚ neboli vo výzve identifikované synergické a komplementárne účinky, RO uvedie: „</w:t>
      </w:r>
      <w:r w:rsidRPr="001905C8">
        <w:rPr>
          <w:i/>
        </w:rPr>
        <w:t>Výzva nemá synergické a komplementárne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63260CA1" w:rsidR="00140068" w:rsidRPr="00142FD9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t xml:space="preserve">Predbežná informácia pre žiadateľov </w:t>
      </w:r>
      <w:r w:rsidR="00753E12" w:rsidRPr="007F1D0E">
        <w:rPr>
          <w:bCs/>
          <w:iCs/>
          <w:szCs w:val="22"/>
          <w:lang w:eastAsia="en-US"/>
        </w:rPr>
        <w:t>o nenávratný finančný príspevok / o príspevok</w:t>
      </w:r>
      <w:r w:rsidR="00753E12">
        <w:rPr>
          <w:rFonts w:eastAsia="Calibri"/>
          <w:bCs/>
          <w:iCs/>
        </w:rPr>
        <w:t xml:space="preserve"> v</w:t>
      </w:r>
      <w:r w:rsidR="00465D91">
        <w:rPr>
          <w:rFonts w:eastAsia="Calibri"/>
          <w:bCs/>
          <w:iCs/>
        </w:rPr>
        <w:t> </w:t>
      </w:r>
      <w:r w:rsidR="00753E12">
        <w:rPr>
          <w:rFonts w:eastAsia="Calibri"/>
          <w:bCs/>
          <w:iCs/>
        </w:rPr>
        <w:t xml:space="preserve">zmysle </w:t>
      </w:r>
      <w:r>
        <w:rPr>
          <w:rFonts w:eastAsia="Calibri"/>
          <w:bCs/>
          <w:iCs/>
        </w:rPr>
        <w:t xml:space="preserve">čl. </w:t>
      </w:r>
      <w:r w:rsidR="00753E12" w:rsidRPr="007F1D0E">
        <w:rPr>
          <w:bCs/>
          <w:iCs/>
          <w:szCs w:val="22"/>
          <w:lang w:eastAsia="en-US"/>
        </w:rPr>
        <w:t>105a</w:t>
      </w:r>
      <w:r>
        <w:rPr>
          <w:rFonts w:eastAsia="Calibri"/>
          <w:bCs/>
          <w:iCs/>
        </w:rPr>
        <w:t xml:space="preserve"> </w:t>
      </w:r>
      <w:r w:rsidR="00753E12" w:rsidRPr="007F1D0E">
        <w:rPr>
          <w:bCs/>
          <w:iCs/>
          <w:szCs w:val="22"/>
          <w:lang w:eastAsia="en-US"/>
        </w:rPr>
        <w:t>nariadenia Európskeho Parlamentu a Rady (EÚ, EURATOM) č.</w:t>
      </w:r>
      <w:r w:rsidR="00465D91">
        <w:rPr>
          <w:bCs/>
          <w:iCs/>
          <w:szCs w:val="22"/>
          <w:lang w:eastAsia="en-US"/>
        </w:rPr>
        <w:t> </w:t>
      </w:r>
      <w:r w:rsidR="00753E12" w:rsidRPr="007F1D0E">
        <w:rPr>
          <w:bCs/>
          <w:iCs/>
          <w:szCs w:val="22"/>
          <w:lang w:eastAsia="en-US"/>
        </w:rPr>
        <w:t>1929/2015 z 28. októbra 2015, ktorým sa mení nariadenie (EÚ, EURATOM) č.</w:t>
      </w:r>
      <w:r w:rsidR="00465D91">
        <w:rPr>
          <w:bCs/>
          <w:iCs/>
          <w:szCs w:val="22"/>
          <w:lang w:eastAsia="en-US"/>
        </w:rPr>
        <w:t> </w:t>
      </w:r>
      <w:r w:rsidR="00753E12" w:rsidRPr="007F1D0E">
        <w:rPr>
          <w:bCs/>
          <w:iCs/>
          <w:szCs w:val="22"/>
          <w:lang w:eastAsia="en-US"/>
        </w:rPr>
        <w:t>966/2012 o rozpočtových pravidlách, ktoré sa vzťahujú na všeobecný rozpočet Únie</w:t>
      </w:r>
    </w:p>
    <w:p w14:paraId="62A5AD52" w14:textId="45BF6995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Ďalšie prílohy (ak relevantné)</w:t>
      </w:r>
    </w:p>
    <w:p w14:paraId="08F70D39" w14:textId="77777777" w:rsidR="00140068" w:rsidRDefault="00140068" w:rsidP="007D6687"/>
    <w:p w14:paraId="08C3038D" w14:textId="77777777" w:rsidR="00140068" w:rsidRPr="005B1203" w:rsidRDefault="00140068" w:rsidP="007D6687">
      <w:pPr>
        <w:jc w:val="center"/>
        <w:outlineLvl w:val="0"/>
      </w:pPr>
    </w:p>
    <w:p w14:paraId="3C6BE268" w14:textId="77777777" w:rsidR="00140068" w:rsidRDefault="00140068" w:rsidP="007D6687"/>
    <w:sectPr w:rsidR="00140068" w:rsidSect="00D201A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7D2C5" w14:textId="77777777" w:rsidR="006134A7" w:rsidRDefault="006134A7" w:rsidP="00140068">
      <w:r>
        <w:separator/>
      </w:r>
    </w:p>
  </w:endnote>
  <w:endnote w:type="continuationSeparator" w:id="0">
    <w:p w14:paraId="0804D8DF" w14:textId="77777777" w:rsidR="006134A7" w:rsidRDefault="006134A7" w:rsidP="00140068">
      <w:r>
        <w:continuationSeparator/>
      </w:r>
    </w:p>
  </w:endnote>
  <w:endnote w:type="continuationNotice" w:id="1">
    <w:p w14:paraId="5C54B72A" w14:textId="77777777" w:rsidR="006134A7" w:rsidRDefault="00613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0661A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319058DF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6687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64733" w14:textId="2EA57FC2" w:rsidR="004131CF" w:rsidRDefault="004131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E33B1" w14:textId="77777777" w:rsidR="006134A7" w:rsidRDefault="006134A7" w:rsidP="00140068">
      <w:r>
        <w:separator/>
      </w:r>
    </w:p>
  </w:footnote>
  <w:footnote w:type="continuationSeparator" w:id="0">
    <w:p w14:paraId="44D90D0F" w14:textId="77777777" w:rsidR="006134A7" w:rsidRDefault="006134A7" w:rsidP="00140068">
      <w:r>
        <w:continuationSeparator/>
      </w:r>
    </w:p>
  </w:footnote>
  <w:footnote w:type="continuationNotice" w:id="1">
    <w:p w14:paraId="2C2EBF7D" w14:textId="77777777" w:rsidR="006134A7" w:rsidRDefault="006134A7"/>
  </w:footnote>
  <w:footnote w:id="2">
    <w:p w14:paraId="11D993BD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 Systému riadenia EŠIF</w:t>
      </w:r>
      <w:r w:rsidR="001B0A3B">
        <w:t>.</w:t>
      </w:r>
    </w:p>
  </w:footnote>
  <w:footnote w:id="3">
    <w:p w14:paraId="630578F9" w14:textId="0E771AAC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 vyzvanie</w:t>
      </w:r>
      <w:r w:rsidR="001B0A3B">
        <w:t>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0A46F7CD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 č. 292/2014 Z. z., t.</w:t>
      </w:r>
      <w:r w:rsidR="005A7CEA">
        <w:t xml:space="preserve"> </w:t>
      </w:r>
      <w:r w:rsidRPr="00783E8D">
        <w:t>j. povinnými kategóriami podmienok poskytnutia príspevku sú: oprávnenosť žiadateľa, oprávnenosť aktivít realizácie projektu, oprávnenosť výdavkov realizácie projektu, oprávnenosť miesta realizácie projekt</w:t>
      </w:r>
      <w:r w:rsidRPr="0095109D">
        <w:t>u</w:t>
      </w:r>
      <w:r w:rsidRPr="00783E8D">
        <w:t>, kritériá pre výber projektov, spôsob financovania a splnenie podmienok ustanovených v osobitných predpisoch. V rámci týchto povinných kategórií podmienok poskytnutia príspevku RO definuje znenie konkrétnych podmienok v závislosti od konkrétnej výzvy a špecifík OP.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6B149"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4DAE050E" w:rsidR="00D201AB" w:rsidRDefault="00D201AB" w:rsidP="00D201AB">
        <w:pPr>
          <w:pStyle w:val="Hlavika"/>
          <w:jc w:val="right"/>
        </w:pPr>
        <w:r>
          <w:rPr>
            <w:szCs w:val="20"/>
          </w:rPr>
          <w:t>11.10.2017</w:t>
        </w:r>
      </w:p>
    </w:sdtContent>
  </w:sdt>
  <w:p w14:paraId="3F0F21DC" w14:textId="77777777" w:rsidR="00D201AB" w:rsidRDefault="00D201A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F8A4D" w14:textId="5B4264F3" w:rsidR="004131CF" w:rsidRDefault="004131C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4"/>
  </w:num>
  <w:num w:numId="7">
    <w:abstractNumId w:val="7"/>
  </w:num>
  <w:num w:numId="8">
    <w:abstractNumId w:val="10"/>
  </w:num>
  <w:num w:numId="9">
    <w:abstractNumId w:val="1"/>
  </w:num>
  <w:num w:numId="10">
    <w:abstractNumId w:val="16"/>
  </w:num>
  <w:num w:numId="11">
    <w:abstractNumId w:val="9"/>
  </w:num>
  <w:num w:numId="12">
    <w:abstractNumId w:val="1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298C"/>
    <w:rsid w:val="000D5D89"/>
    <w:rsid w:val="000D6B86"/>
    <w:rsid w:val="000E2AA4"/>
    <w:rsid w:val="000F7C94"/>
    <w:rsid w:val="00115011"/>
    <w:rsid w:val="00116F61"/>
    <w:rsid w:val="0012695E"/>
    <w:rsid w:val="00130CF1"/>
    <w:rsid w:val="00140068"/>
    <w:rsid w:val="00142FD9"/>
    <w:rsid w:val="0014641E"/>
    <w:rsid w:val="0015233E"/>
    <w:rsid w:val="0016669F"/>
    <w:rsid w:val="00171B58"/>
    <w:rsid w:val="00173917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20137D"/>
    <w:rsid w:val="00224F7F"/>
    <w:rsid w:val="002259C4"/>
    <w:rsid w:val="00225A05"/>
    <w:rsid w:val="00230F87"/>
    <w:rsid w:val="002347A5"/>
    <w:rsid w:val="00246970"/>
    <w:rsid w:val="00256687"/>
    <w:rsid w:val="00266BE6"/>
    <w:rsid w:val="002709CA"/>
    <w:rsid w:val="00274479"/>
    <w:rsid w:val="00277D43"/>
    <w:rsid w:val="00287AB4"/>
    <w:rsid w:val="002A1E17"/>
    <w:rsid w:val="002A64E4"/>
    <w:rsid w:val="002A7F76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32281B"/>
    <w:rsid w:val="00323081"/>
    <w:rsid w:val="0033433B"/>
    <w:rsid w:val="003357E9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D0894"/>
    <w:rsid w:val="003D0DF0"/>
    <w:rsid w:val="003D568C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45A9"/>
    <w:rsid w:val="004470FB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6EDD"/>
    <w:rsid w:val="005122F6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7EA3"/>
    <w:rsid w:val="0063292E"/>
    <w:rsid w:val="00637129"/>
    <w:rsid w:val="006479DF"/>
    <w:rsid w:val="00660DCB"/>
    <w:rsid w:val="006638E5"/>
    <w:rsid w:val="006719A0"/>
    <w:rsid w:val="00687102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21199"/>
    <w:rsid w:val="00753E12"/>
    <w:rsid w:val="007571C9"/>
    <w:rsid w:val="0076414C"/>
    <w:rsid w:val="00765555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345C2"/>
    <w:rsid w:val="0084743A"/>
    <w:rsid w:val="008526BB"/>
    <w:rsid w:val="008743E6"/>
    <w:rsid w:val="008806AC"/>
    <w:rsid w:val="00891F74"/>
    <w:rsid w:val="008A2377"/>
    <w:rsid w:val="008B1666"/>
    <w:rsid w:val="008C271F"/>
    <w:rsid w:val="008D0F9C"/>
    <w:rsid w:val="008D7B4C"/>
    <w:rsid w:val="008F2627"/>
    <w:rsid w:val="0090110D"/>
    <w:rsid w:val="0090259E"/>
    <w:rsid w:val="00911D80"/>
    <w:rsid w:val="00926284"/>
    <w:rsid w:val="00942DD3"/>
    <w:rsid w:val="00945BA2"/>
    <w:rsid w:val="0095109D"/>
    <w:rsid w:val="009515E7"/>
    <w:rsid w:val="00960837"/>
    <w:rsid w:val="00967523"/>
    <w:rsid w:val="00976A29"/>
    <w:rsid w:val="00977CF6"/>
    <w:rsid w:val="0098159E"/>
    <w:rsid w:val="009836CF"/>
    <w:rsid w:val="009B421D"/>
    <w:rsid w:val="009B44A5"/>
    <w:rsid w:val="009C7A22"/>
    <w:rsid w:val="009D0321"/>
    <w:rsid w:val="009F01E2"/>
    <w:rsid w:val="009F5516"/>
    <w:rsid w:val="00A144AE"/>
    <w:rsid w:val="00A17B7C"/>
    <w:rsid w:val="00A23DCA"/>
    <w:rsid w:val="00A34177"/>
    <w:rsid w:val="00A45A64"/>
    <w:rsid w:val="00A5421F"/>
    <w:rsid w:val="00A565C9"/>
    <w:rsid w:val="00A80D8A"/>
    <w:rsid w:val="00A92197"/>
    <w:rsid w:val="00A9254C"/>
    <w:rsid w:val="00AB755C"/>
    <w:rsid w:val="00AC2133"/>
    <w:rsid w:val="00AD432F"/>
    <w:rsid w:val="00AD43B4"/>
    <w:rsid w:val="00B10299"/>
    <w:rsid w:val="00B12038"/>
    <w:rsid w:val="00B12061"/>
    <w:rsid w:val="00B24DE3"/>
    <w:rsid w:val="00B26B3E"/>
    <w:rsid w:val="00B315E9"/>
    <w:rsid w:val="00B4284E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C214B6"/>
    <w:rsid w:val="00C348A2"/>
    <w:rsid w:val="00C36DC6"/>
    <w:rsid w:val="00C53567"/>
    <w:rsid w:val="00C5472F"/>
    <w:rsid w:val="00C60A4A"/>
    <w:rsid w:val="00C6439D"/>
    <w:rsid w:val="00C6530E"/>
    <w:rsid w:val="00C7360B"/>
    <w:rsid w:val="00C813EE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979"/>
    <w:rsid w:val="00D02696"/>
    <w:rsid w:val="00D05350"/>
    <w:rsid w:val="00D14BCE"/>
    <w:rsid w:val="00D201AB"/>
    <w:rsid w:val="00D61BB6"/>
    <w:rsid w:val="00D734BA"/>
    <w:rsid w:val="00D86DA2"/>
    <w:rsid w:val="00D942CE"/>
    <w:rsid w:val="00DA3B50"/>
    <w:rsid w:val="00DA50A5"/>
    <w:rsid w:val="00DA5A83"/>
    <w:rsid w:val="00DA604C"/>
    <w:rsid w:val="00DB3113"/>
    <w:rsid w:val="00DB798B"/>
    <w:rsid w:val="00DC16CA"/>
    <w:rsid w:val="00DE2C5C"/>
    <w:rsid w:val="00DE7F44"/>
    <w:rsid w:val="00DF4F5E"/>
    <w:rsid w:val="00E25F33"/>
    <w:rsid w:val="00E52D37"/>
    <w:rsid w:val="00E5416A"/>
    <w:rsid w:val="00E5502C"/>
    <w:rsid w:val="00E5723B"/>
    <w:rsid w:val="00E65EAF"/>
    <w:rsid w:val="00E700C5"/>
    <w:rsid w:val="00E742C1"/>
    <w:rsid w:val="00E74DC2"/>
    <w:rsid w:val="00E74EA1"/>
    <w:rsid w:val="00E7702D"/>
    <w:rsid w:val="00E9215D"/>
    <w:rsid w:val="00E97CC5"/>
    <w:rsid w:val="00EA0C60"/>
    <w:rsid w:val="00EE70FE"/>
    <w:rsid w:val="00F0607A"/>
    <w:rsid w:val="00F10B9D"/>
    <w:rsid w:val="00F26533"/>
    <w:rsid w:val="00F27075"/>
    <w:rsid w:val="00F4207C"/>
    <w:rsid w:val="00F678A1"/>
    <w:rsid w:val="00F81070"/>
    <w:rsid w:val="00F854AC"/>
    <w:rsid w:val="00F97E8C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A5410"/>
    <w:rsid w:val="001C5C7A"/>
    <w:rsid w:val="00253F54"/>
    <w:rsid w:val="00311AB0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60FA3"/>
    <w:rsid w:val="0087646B"/>
    <w:rsid w:val="008E0908"/>
    <w:rsid w:val="00906C7C"/>
    <w:rsid w:val="00B01445"/>
    <w:rsid w:val="00B06D3C"/>
    <w:rsid w:val="00B43020"/>
    <w:rsid w:val="00B81159"/>
    <w:rsid w:val="00E53644"/>
    <w:rsid w:val="00EC2235"/>
    <w:rsid w:val="00E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8CF3-6927-4274-B9A4-901A0E90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2017-09-06T11:04:00Z</dcterms:created>
  <dcterms:modified xsi:type="dcterms:W3CDTF">2017-10-09T16:21:00Z</dcterms:modified>
</cp:coreProperties>
</file>